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28CE" w14:textId="7A930367" w:rsidR="00933EFB" w:rsidRPr="00AF0D30" w:rsidRDefault="00933EFB" w:rsidP="00AF0D30">
      <w:pPr>
        <w:spacing w:line="240" w:lineRule="auto"/>
        <w:contextualSpacing/>
        <w:jc w:val="center"/>
        <w:rPr>
          <w:b/>
          <w:bCs/>
        </w:rPr>
      </w:pPr>
      <w:r w:rsidRPr="00AF0D30">
        <w:rPr>
          <w:b/>
          <w:bCs/>
        </w:rPr>
        <w:t>Travel Reimbursement and Economical Travel Policy</w:t>
      </w:r>
    </w:p>
    <w:p w14:paraId="750B130A" w14:textId="77777777" w:rsidR="00933EFB" w:rsidRDefault="00933EFB" w:rsidP="00AF0D30">
      <w:pPr>
        <w:spacing w:line="240" w:lineRule="auto"/>
        <w:contextualSpacing/>
      </w:pPr>
    </w:p>
    <w:p w14:paraId="56FB3D4B" w14:textId="040BE6CC" w:rsidR="00933EFB" w:rsidRPr="00AF0D30" w:rsidRDefault="00933EFB" w:rsidP="00AF0D30">
      <w:pPr>
        <w:spacing w:line="240" w:lineRule="auto"/>
        <w:contextualSpacing/>
        <w:rPr>
          <w:b/>
          <w:bCs/>
        </w:rPr>
      </w:pPr>
      <w:r w:rsidRPr="00AF0D30">
        <w:rPr>
          <w:b/>
          <w:bCs/>
        </w:rPr>
        <w:t xml:space="preserve"> Purpose</w:t>
      </w:r>
      <w:r w:rsidR="00D976F9">
        <w:rPr>
          <w:b/>
          <w:bCs/>
        </w:rPr>
        <w:t>:</w:t>
      </w:r>
    </w:p>
    <w:p w14:paraId="7F6B53CA" w14:textId="77777777" w:rsidR="00933EFB" w:rsidRDefault="00933EFB" w:rsidP="00AF0D30">
      <w:pPr>
        <w:spacing w:line="240" w:lineRule="auto"/>
        <w:contextualSpacing/>
      </w:pPr>
      <w:r>
        <w:t>The purpose of this policy is to ensure that all Business Enterprise Program (BEP) licensees comply with state travel requirements and that state funds are used in a responsible and economical manner.</w:t>
      </w:r>
    </w:p>
    <w:p w14:paraId="537A5BA7" w14:textId="77777777" w:rsidR="00933EFB" w:rsidRDefault="00933EFB" w:rsidP="00AF0D30">
      <w:pPr>
        <w:spacing w:line="240" w:lineRule="auto"/>
        <w:contextualSpacing/>
      </w:pPr>
    </w:p>
    <w:p w14:paraId="5AE1F13A" w14:textId="57A1D04A" w:rsidR="00933EFB" w:rsidRPr="00AF0D30" w:rsidRDefault="00933EFB" w:rsidP="00AF0D30">
      <w:pPr>
        <w:spacing w:line="240" w:lineRule="auto"/>
        <w:contextualSpacing/>
        <w:rPr>
          <w:b/>
          <w:bCs/>
        </w:rPr>
      </w:pPr>
      <w:r w:rsidRPr="00AF0D30">
        <w:rPr>
          <w:b/>
          <w:bCs/>
        </w:rPr>
        <w:t xml:space="preserve"> Scope</w:t>
      </w:r>
      <w:r w:rsidR="00D976F9">
        <w:rPr>
          <w:b/>
          <w:bCs/>
        </w:rPr>
        <w:t>:</w:t>
      </w:r>
    </w:p>
    <w:p w14:paraId="28F02699" w14:textId="77777777" w:rsidR="00933EFB" w:rsidRDefault="00933EFB" w:rsidP="00AF0D30">
      <w:pPr>
        <w:spacing w:line="240" w:lineRule="auto"/>
        <w:contextualSpacing/>
      </w:pPr>
      <w:r>
        <w:t>This policy applies to all BEP licensees who travel on official business for which reimbursement from the State Licensing Agency (SLA) is requested or provided.</w:t>
      </w:r>
    </w:p>
    <w:p w14:paraId="20057DF9" w14:textId="77777777" w:rsidR="00933EFB" w:rsidRDefault="00933EFB" w:rsidP="00AF0D30">
      <w:pPr>
        <w:spacing w:line="240" w:lineRule="auto"/>
        <w:contextualSpacing/>
      </w:pPr>
    </w:p>
    <w:p w14:paraId="5D0422E4" w14:textId="75C078DA" w:rsidR="00933EFB" w:rsidRPr="00AF0D30" w:rsidRDefault="00933EFB" w:rsidP="00AF0D30">
      <w:pPr>
        <w:spacing w:line="240" w:lineRule="auto"/>
        <w:contextualSpacing/>
        <w:rPr>
          <w:b/>
          <w:bCs/>
        </w:rPr>
      </w:pPr>
      <w:r w:rsidRPr="00AF0D30">
        <w:rPr>
          <w:b/>
          <w:bCs/>
        </w:rPr>
        <w:t xml:space="preserve"> Policy Statement</w:t>
      </w:r>
      <w:r w:rsidR="00D976F9">
        <w:rPr>
          <w:b/>
          <w:bCs/>
        </w:rPr>
        <w:t>:</w:t>
      </w:r>
    </w:p>
    <w:p w14:paraId="02BB773F" w14:textId="77777777" w:rsidR="00933EFB" w:rsidRDefault="00933EFB" w:rsidP="00AF0D30">
      <w:pPr>
        <w:spacing w:line="240" w:lineRule="auto"/>
        <w:contextualSpacing/>
      </w:pPr>
      <w:r>
        <w:t>All licensees traveling on state-reimbursed business shall travel in the most economical manner available while still meeting the business needs of the trip.</w:t>
      </w:r>
    </w:p>
    <w:p w14:paraId="6CDA6D5F" w14:textId="77777777" w:rsidR="00933EFB" w:rsidRDefault="00933EFB" w:rsidP="00AF0D30">
      <w:pPr>
        <w:spacing w:line="240" w:lineRule="auto"/>
        <w:contextualSpacing/>
      </w:pPr>
    </w:p>
    <w:p w14:paraId="12A2CC47" w14:textId="77777777" w:rsidR="00933EFB" w:rsidRDefault="00933EFB" w:rsidP="00AF0D30">
      <w:pPr>
        <w:spacing w:line="240" w:lineRule="auto"/>
        <w:contextualSpacing/>
      </w:pPr>
      <w:r>
        <w:t>When using a common carrier or transportation service—including airlines, trains, buses, Uber, Lyft, taxis, or other rideshare services—the traveler must select the most economical reasonable option available.</w:t>
      </w:r>
    </w:p>
    <w:p w14:paraId="0A838674" w14:textId="77777777" w:rsidR="00933EFB" w:rsidRDefault="00933EFB" w:rsidP="00AF0D30">
      <w:pPr>
        <w:spacing w:line="240" w:lineRule="auto"/>
        <w:contextualSpacing/>
      </w:pPr>
    </w:p>
    <w:p w14:paraId="72C9CEA1" w14:textId="77777777" w:rsidR="00933EFB" w:rsidRDefault="00933EFB" w:rsidP="00AF0D30">
      <w:pPr>
        <w:spacing w:line="240" w:lineRule="auto"/>
        <w:contextualSpacing/>
      </w:pPr>
      <w:r>
        <w:t>The State Licensing Agency is required to comply with Florida Statute 112.061 and the Department of Financial Services Reference Guide for State Expenditures. All licensees seeking reimbursement must comply with these same requirements.</w:t>
      </w:r>
    </w:p>
    <w:p w14:paraId="4308E30F" w14:textId="77777777" w:rsidR="00933EFB" w:rsidRDefault="00933EFB" w:rsidP="00AF0D30">
      <w:pPr>
        <w:spacing w:line="240" w:lineRule="auto"/>
        <w:contextualSpacing/>
      </w:pPr>
    </w:p>
    <w:p w14:paraId="3D006B5D" w14:textId="73E93875" w:rsidR="00933EFB" w:rsidRPr="00AF0D30" w:rsidRDefault="00933EFB" w:rsidP="00AF0D30">
      <w:pPr>
        <w:spacing w:line="240" w:lineRule="auto"/>
        <w:contextualSpacing/>
        <w:rPr>
          <w:b/>
          <w:bCs/>
        </w:rPr>
      </w:pPr>
      <w:r w:rsidRPr="00AF0D30">
        <w:rPr>
          <w:b/>
          <w:bCs/>
        </w:rPr>
        <w:t xml:space="preserve"> Travel Requirements</w:t>
      </w:r>
      <w:r w:rsidR="00D976F9">
        <w:rPr>
          <w:b/>
          <w:bCs/>
        </w:rPr>
        <w:t>:</w:t>
      </w:r>
    </w:p>
    <w:p w14:paraId="3277BF58" w14:textId="77777777" w:rsidR="00D976F9" w:rsidRDefault="00933EFB" w:rsidP="00AF0D30">
      <w:pPr>
        <w:pStyle w:val="ListParagraph"/>
        <w:numPr>
          <w:ilvl w:val="0"/>
          <w:numId w:val="1"/>
        </w:numPr>
        <w:spacing w:line="240" w:lineRule="auto"/>
      </w:pPr>
      <w:r>
        <w:t>Travel arrangements must be planned to minimize cost while allowing the traveler to conduct official business effectively.</w:t>
      </w:r>
    </w:p>
    <w:p w14:paraId="4093C3C8" w14:textId="77777777" w:rsidR="00D976F9" w:rsidRDefault="00933EFB" w:rsidP="00AF0D30">
      <w:pPr>
        <w:pStyle w:val="ListParagraph"/>
        <w:numPr>
          <w:ilvl w:val="0"/>
          <w:numId w:val="1"/>
        </w:numPr>
        <w:spacing w:line="240" w:lineRule="auto"/>
      </w:pPr>
      <w:r>
        <w:t>Economy or coach-class fares must be used unless otherwise authorized under applicable state rules.</w:t>
      </w:r>
    </w:p>
    <w:p w14:paraId="1A3E565C" w14:textId="77777777" w:rsidR="00D976F9" w:rsidRDefault="00933EFB" w:rsidP="00AF0D30">
      <w:pPr>
        <w:pStyle w:val="ListParagraph"/>
        <w:numPr>
          <w:ilvl w:val="0"/>
          <w:numId w:val="1"/>
        </w:numPr>
        <w:spacing w:line="240" w:lineRule="auto"/>
      </w:pPr>
      <w:r>
        <w:t xml:space="preserve"> Rideshare and ground transportation expenses must be reasonable, necessary, and cost-effective.</w:t>
      </w:r>
    </w:p>
    <w:p w14:paraId="5948F3DD" w14:textId="77777777" w:rsidR="00D976F9" w:rsidRDefault="00933EFB" w:rsidP="00AF0D30">
      <w:pPr>
        <w:pStyle w:val="ListParagraph"/>
        <w:numPr>
          <w:ilvl w:val="0"/>
          <w:numId w:val="1"/>
        </w:numPr>
        <w:spacing w:line="240" w:lineRule="auto"/>
      </w:pPr>
      <w:r>
        <w:t>All travel expenses must comply with applicable state laws, rules, and guidance.</w:t>
      </w:r>
    </w:p>
    <w:p w14:paraId="7859AF18" w14:textId="5DD541C4" w:rsidR="00933EFB" w:rsidRDefault="00933EFB" w:rsidP="00AF0D30">
      <w:pPr>
        <w:pStyle w:val="ListParagraph"/>
        <w:numPr>
          <w:ilvl w:val="0"/>
          <w:numId w:val="1"/>
        </w:numPr>
        <w:spacing w:line="240" w:lineRule="auto"/>
      </w:pPr>
      <w:r>
        <w:t>Travelers are responsible for understanding and following state travel requirements prior to incurring expenses.</w:t>
      </w:r>
    </w:p>
    <w:p w14:paraId="239F2987" w14:textId="77777777" w:rsidR="00933EFB" w:rsidRDefault="00933EFB" w:rsidP="00AF0D30">
      <w:pPr>
        <w:spacing w:line="240" w:lineRule="auto"/>
        <w:contextualSpacing/>
      </w:pPr>
    </w:p>
    <w:p w14:paraId="6984E88A" w14:textId="5527C4AF" w:rsidR="00933EFB" w:rsidRPr="00AF0D30" w:rsidRDefault="00933EFB" w:rsidP="00AF0D30">
      <w:pPr>
        <w:spacing w:line="240" w:lineRule="auto"/>
        <w:contextualSpacing/>
        <w:rPr>
          <w:b/>
          <w:bCs/>
        </w:rPr>
      </w:pPr>
      <w:r w:rsidRPr="00AF0D30">
        <w:rPr>
          <w:b/>
          <w:bCs/>
        </w:rPr>
        <w:t xml:space="preserve"> Receipts and Documentation</w:t>
      </w:r>
      <w:r w:rsidR="00D976F9">
        <w:rPr>
          <w:b/>
          <w:bCs/>
        </w:rPr>
        <w:t>:</w:t>
      </w:r>
    </w:p>
    <w:p w14:paraId="2AD9DA9D" w14:textId="77777777" w:rsidR="00933EFB" w:rsidRDefault="00933EFB" w:rsidP="00AF0D30">
      <w:pPr>
        <w:spacing w:line="240" w:lineRule="auto"/>
        <w:contextualSpacing/>
      </w:pPr>
      <w:r>
        <w:t>All travel reimbursement requests must be supported by required receipts and documentation, in accordance with state travel rules.</w:t>
      </w:r>
    </w:p>
    <w:p w14:paraId="02A482C5" w14:textId="77777777" w:rsidR="00933EFB" w:rsidRDefault="00933EFB" w:rsidP="00AF0D30">
      <w:pPr>
        <w:spacing w:line="240" w:lineRule="auto"/>
        <w:contextualSpacing/>
      </w:pPr>
    </w:p>
    <w:p w14:paraId="7C3968D9" w14:textId="77777777" w:rsidR="00933EFB" w:rsidRDefault="00933EFB" w:rsidP="00AF0D30">
      <w:pPr>
        <w:spacing w:line="240" w:lineRule="auto"/>
        <w:contextualSpacing/>
      </w:pPr>
      <w:r>
        <w:t>Receipts must clearly show the date, amount paid, and type of expense. Electronic receipts are acceptable and include emailed or app-based receipts from airlines, hotels, Uber, Lyft, taxis, or other transportation providers.</w:t>
      </w:r>
    </w:p>
    <w:p w14:paraId="41785042" w14:textId="77777777" w:rsidR="00933EFB" w:rsidRDefault="00933EFB" w:rsidP="00AF0D30">
      <w:pPr>
        <w:spacing w:line="240" w:lineRule="auto"/>
        <w:contextualSpacing/>
      </w:pPr>
    </w:p>
    <w:p w14:paraId="3FABD575" w14:textId="77777777" w:rsidR="00933EFB" w:rsidRDefault="00933EFB" w:rsidP="00AF0D30">
      <w:pPr>
        <w:spacing w:line="240" w:lineRule="auto"/>
        <w:contextualSpacing/>
      </w:pPr>
      <w:r>
        <w:t>Electronic receipts are recognized as valid documentation and support accessibility for licensees who use screen readers or other assistive technology.</w:t>
      </w:r>
    </w:p>
    <w:p w14:paraId="3E28CF68" w14:textId="77777777" w:rsidR="00933EFB" w:rsidRDefault="00933EFB" w:rsidP="00AF0D30">
      <w:pPr>
        <w:spacing w:line="240" w:lineRule="auto"/>
        <w:contextualSpacing/>
      </w:pPr>
    </w:p>
    <w:p w14:paraId="3EA9A3D2" w14:textId="77777777" w:rsidR="00933EFB" w:rsidRDefault="00933EFB" w:rsidP="00AF0D30">
      <w:pPr>
        <w:spacing w:line="240" w:lineRule="auto"/>
        <w:contextualSpacing/>
      </w:pPr>
      <w:r>
        <w:t>Failure to provide required receipts or documentation may result in denial of reimbursement for the undocumented expenses.</w:t>
      </w:r>
    </w:p>
    <w:p w14:paraId="0CFE7D5E" w14:textId="77777777" w:rsidR="00933EFB" w:rsidRDefault="00933EFB" w:rsidP="00AF0D30">
      <w:pPr>
        <w:spacing w:line="240" w:lineRule="auto"/>
        <w:contextualSpacing/>
      </w:pPr>
    </w:p>
    <w:p w14:paraId="1A1C3CF8" w14:textId="71B141DE" w:rsidR="00933EFB" w:rsidRPr="00AF0D30" w:rsidRDefault="00933EFB" w:rsidP="00AF0D30">
      <w:pPr>
        <w:spacing w:line="240" w:lineRule="auto"/>
        <w:contextualSpacing/>
        <w:rPr>
          <w:b/>
          <w:bCs/>
        </w:rPr>
      </w:pPr>
      <w:r w:rsidRPr="00AF0D30">
        <w:rPr>
          <w:b/>
          <w:bCs/>
        </w:rPr>
        <w:lastRenderedPageBreak/>
        <w:t xml:space="preserve"> Reimbursement</w:t>
      </w:r>
      <w:r w:rsidR="00D976F9">
        <w:rPr>
          <w:b/>
          <w:bCs/>
        </w:rPr>
        <w:t>:</w:t>
      </w:r>
    </w:p>
    <w:p w14:paraId="7EAD8168" w14:textId="77777777" w:rsidR="00933EFB" w:rsidRDefault="00933EFB" w:rsidP="00AF0D30">
      <w:pPr>
        <w:spacing w:line="240" w:lineRule="auto"/>
        <w:contextualSpacing/>
      </w:pPr>
      <w:r>
        <w:t>Failure to comply with state travel requirements, including the requirement to travel in the most economical manner, may result in denial of reimbursement for all or part of the travel expenses.</w:t>
      </w:r>
    </w:p>
    <w:p w14:paraId="304F76D1" w14:textId="77777777" w:rsidR="00AF0D30" w:rsidRDefault="00AF0D30" w:rsidP="00AF0D30">
      <w:pPr>
        <w:spacing w:line="240" w:lineRule="auto"/>
        <w:contextualSpacing/>
      </w:pPr>
    </w:p>
    <w:p w14:paraId="3E30157E" w14:textId="3838C8C0" w:rsidR="00933EFB" w:rsidRPr="00AF0D30" w:rsidRDefault="00933EFB" w:rsidP="00AF0D30">
      <w:pPr>
        <w:spacing w:line="240" w:lineRule="auto"/>
        <w:contextualSpacing/>
        <w:rPr>
          <w:b/>
          <w:bCs/>
        </w:rPr>
      </w:pPr>
      <w:r w:rsidRPr="00AF0D30">
        <w:rPr>
          <w:b/>
          <w:bCs/>
        </w:rPr>
        <w:t xml:space="preserve"> References</w:t>
      </w:r>
      <w:r w:rsidR="00D976F9">
        <w:rPr>
          <w:b/>
          <w:bCs/>
        </w:rPr>
        <w:t>:</w:t>
      </w:r>
    </w:p>
    <w:p w14:paraId="55B558A4" w14:textId="77777777" w:rsidR="00933EFB" w:rsidRDefault="00933EFB" w:rsidP="00AF0D30">
      <w:pPr>
        <w:spacing w:line="240" w:lineRule="auto"/>
        <w:contextualSpacing/>
      </w:pPr>
      <w:r>
        <w:t>* Florida Statute 112.061</w:t>
      </w:r>
    </w:p>
    <w:p w14:paraId="29166B90" w14:textId="77777777" w:rsidR="00933EFB" w:rsidRDefault="00933EFB" w:rsidP="00AF0D30">
      <w:pPr>
        <w:spacing w:line="240" w:lineRule="auto"/>
        <w:contextualSpacing/>
      </w:pPr>
      <w:r>
        <w:t>* Department of Financial Services, Reference Guide for State Expenditures</w:t>
      </w:r>
    </w:p>
    <w:p w14:paraId="5C2940F0" w14:textId="77777777" w:rsidR="00933EFB" w:rsidRDefault="00933EFB" w:rsidP="00AF0D30">
      <w:pPr>
        <w:spacing w:line="240" w:lineRule="auto"/>
        <w:contextualSpacing/>
      </w:pPr>
    </w:p>
    <w:p w14:paraId="7980E6BF" w14:textId="17C58F1C" w:rsidR="00E24EEF" w:rsidRPr="00933EFB" w:rsidRDefault="00E24EEF" w:rsidP="00AF0D30">
      <w:pPr>
        <w:spacing w:line="240" w:lineRule="auto"/>
        <w:contextualSpacing/>
      </w:pPr>
    </w:p>
    <w:sectPr w:rsidR="00E24EEF" w:rsidRPr="00933EFB" w:rsidSect="0027659B">
      <w:pgSz w:w="12240" w:h="15840"/>
      <w:pgMar w:top="1077" w:right="1440" w:bottom="170" w:left="900"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47C"/>
    <w:multiLevelType w:val="hybridMultilevel"/>
    <w:tmpl w:val="0C0ED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56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4D"/>
    <w:rsid w:val="0010114D"/>
    <w:rsid w:val="002319AE"/>
    <w:rsid w:val="0027659B"/>
    <w:rsid w:val="004B4C0E"/>
    <w:rsid w:val="00847959"/>
    <w:rsid w:val="00933EFB"/>
    <w:rsid w:val="00A27086"/>
    <w:rsid w:val="00AE1C17"/>
    <w:rsid w:val="00AF0D30"/>
    <w:rsid w:val="00AF722A"/>
    <w:rsid w:val="00C422FF"/>
    <w:rsid w:val="00D976F9"/>
    <w:rsid w:val="00E2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46DA"/>
  <w15:chartTrackingRefBased/>
  <w15:docId w15:val="{E1B154E0-7AF5-4D74-AA31-138CD540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14D"/>
    <w:rPr>
      <w:rFonts w:eastAsiaTheme="majorEastAsia" w:cstheme="majorBidi"/>
      <w:color w:val="272727" w:themeColor="text1" w:themeTint="D8"/>
    </w:rPr>
  </w:style>
  <w:style w:type="paragraph" w:styleId="Title">
    <w:name w:val="Title"/>
    <w:basedOn w:val="Normal"/>
    <w:next w:val="Normal"/>
    <w:link w:val="TitleChar"/>
    <w:uiPriority w:val="10"/>
    <w:qFormat/>
    <w:rsid w:val="00101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14D"/>
    <w:pPr>
      <w:spacing w:before="160"/>
      <w:jc w:val="center"/>
    </w:pPr>
    <w:rPr>
      <w:i/>
      <w:iCs/>
      <w:color w:val="404040" w:themeColor="text1" w:themeTint="BF"/>
    </w:rPr>
  </w:style>
  <w:style w:type="character" w:customStyle="1" w:styleId="QuoteChar">
    <w:name w:val="Quote Char"/>
    <w:basedOn w:val="DefaultParagraphFont"/>
    <w:link w:val="Quote"/>
    <w:uiPriority w:val="29"/>
    <w:rsid w:val="0010114D"/>
    <w:rPr>
      <w:i/>
      <w:iCs/>
      <w:color w:val="404040" w:themeColor="text1" w:themeTint="BF"/>
    </w:rPr>
  </w:style>
  <w:style w:type="paragraph" w:styleId="ListParagraph">
    <w:name w:val="List Paragraph"/>
    <w:basedOn w:val="Normal"/>
    <w:uiPriority w:val="34"/>
    <w:qFormat/>
    <w:rsid w:val="0010114D"/>
    <w:pPr>
      <w:ind w:left="720"/>
      <w:contextualSpacing/>
    </w:pPr>
  </w:style>
  <w:style w:type="character" w:styleId="IntenseEmphasis">
    <w:name w:val="Intense Emphasis"/>
    <w:basedOn w:val="DefaultParagraphFont"/>
    <w:uiPriority w:val="21"/>
    <w:qFormat/>
    <w:rsid w:val="0010114D"/>
    <w:rPr>
      <w:i/>
      <w:iCs/>
      <w:color w:val="0F4761" w:themeColor="accent1" w:themeShade="BF"/>
    </w:rPr>
  </w:style>
  <w:style w:type="paragraph" w:styleId="IntenseQuote">
    <w:name w:val="Intense Quote"/>
    <w:basedOn w:val="Normal"/>
    <w:next w:val="Normal"/>
    <w:link w:val="IntenseQuoteChar"/>
    <w:uiPriority w:val="30"/>
    <w:qFormat/>
    <w:rsid w:val="00101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14D"/>
    <w:rPr>
      <w:i/>
      <w:iCs/>
      <w:color w:val="0F4761" w:themeColor="accent1" w:themeShade="BF"/>
    </w:rPr>
  </w:style>
  <w:style w:type="character" w:styleId="IntenseReference">
    <w:name w:val="Intense Reference"/>
    <w:basedOn w:val="DefaultParagraphFont"/>
    <w:uiPriority w:val="32"/>
    <w:qFormat/>
    <w:rsid w:val="00101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2222</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 bekric</dc:creator>
  <cp:keywords/>
  <dc:description/>
  <cp:lastModifiedBy>Harding, MaryEllen</cp:lastModifiedBy>
  <cp:revision>3</cp:revision>
  <dcterms:created xsi:type="dcterms:W3CDTF">2026-02-18T21:07:00Z</dcterms:created>
  <dcterms:modified xsi:type="dcterms:W3CDTF">2026-02-18T21:21:00Z</dcterms:modified>
</cp:coreProperties>
</file>